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6CFF" w14:textId="77777777" w:rsidR="006274CD" w:rsidRDefault="006274CD" w:rsidP="000D37EF">
      <w:pPr>
        <w:spacing w:after="0" w:line="240" w:lineRule="auto"/>
      </w:pPr>
    </w:p>
    <w:p w14:paraId="6C2EF52E" w14:textId="77777777" w:rsidR="006274CD" w:rsidRDefault="006274CD" w:rsidP="000D37EF">
      <w:pPr>
        <w:spacing w:after="0" w:line="240" w:lineRule="auto"/>
      </w:pPr>
    </w:p>
    <w:p w14:paraId="4C93AD3C" w14:textId="77777777" w:rsidR="006274CD" w:rsidRDefault="006274CD" w:rsidP="000D37EF">
      <w:pPr>
        <w:spacing w:after="0" w:line="240" w:lineRule="auto"/>
      </w:pPr>
    </w:p>
    <w:p w14:paraId="7E3EA5C3" w14:textId="3A3D9AC0" w:rsidR="000D37EF" w:rsidRPr="007F3461" w:rsidRDefault="000D37EF" w:rsidP="00E032EE">
      <w:pPr>
        <w:spacing w:after="0" w:line="240" w:lineRule="auto"/>
      </w:pPr>
    </w:p>
    <w:p w14:paraId="3E82544A" w14:textId="77777777" w:rsidR="007F73ED" w:rsidRDefault="007F73ED" w:rsidP="000D37EF">
      <w:pPr>
        <w:spacing w:after="0" w:line="240" w:lineRule="auto"/>
      </w:pPr>
    </w:p>
    <w:p w14:paraId="6DB401E4" w14:textId="77777777" w:rsidR="007F3461" w:rsidRPr="00EB5582" w:rsidRDefault="007F3461" w:rsidP="007F3461">
      <w:pPr>
        <w:jc w:val="center"/>
        <w:rPr>
          <w:rFonts w:ascii="Times New Roman" w:hAnsi="Times New Roman" w:cs="Times New Roman"/>
          <w:b/>
          <w:bCs/>
          <w:sz w:val="72"/>
          <w:szCs w:val="72"/>
        </w:rPr>
      </w:pPr>
      <w:r w:rsidRPr="00EB5582">
        <w:rPr>
          <w:rFonts w:ascii="Times New Roman" w:hAnsi="Times New Roman" w:cs="Times New Roman"/>
          <w:b/>
          <w:bCs/>
          <w:sz w:val="72"/>
          <w:szCs w:val="72"/>
        </w:rPr>
        <w:t>ENERGY TRANSITION</w:t>
      </w:r>
    </w:p>
    <w:p w14:paraId="2DB97693" w14:textId="77777777" w:rsidR="007F3461" w:rsidRPr="00EB5582" w:rsidRDefault="007F3461" w:rsidP="007F3461">
      <w:pPr>
        <w:jc w:val="center"/>
        <w:rPr>
          <w:rFonts w:ascii="Times New Roman" w:hAnsi="Times New Roman" w:cs="Times New Roman"/>
          <w:b/>
          <w:bCs/>
          <w:sz w:val="32"/>
          <w:szCs w:val="32"/>
        </w:rPr>
      </w:pPr>
      <w:r w:rsidRPr="00EB5582">
        <w:rPr>
          <w:rFonts w:ascii="Times New Roman" w:hAnsi="Times New Roman" w:cs="Times New Roman"/>
          <w:b/>
          <w:bCs/>
          <w:sz w:val="32"/>
          <w:szCs w:val="32"/>
        </w:rPr>
        <w:t>ONE-DAY COURSE PROGRAM</w:t>
      </w:r>
    </w:p>
    <w:p w14:paraId="3F06AADC" w14:textId="14A143FA" w:rsidR="007F3461" w:rsidRPr="00EB5582" w:rsidRDefault="007F3461" w:rsidP="007F3461">
      <w:pPr>
        <w:jc w:val="center"/>
        <w:rPr>
          <w:rFonts w:ascii="Times New Roman" w:hAnsi="Times New Roman" w:cs="Times New Roman"/>
          <w:b/>
          <w:bCs/>
          <w:sz w:val="28"/>
          <w:szCs w:val="28"/>
        </w:rPr>
      </w:pPr>
      <w:r w:rsidRPr="00EB5582">
        <w:rPr>
          <w:rFonts w:ascii="Times New Roman" w:hAnsi="Times New Roman" w:cs="Times New Roman"/>
          <w:b/>
          <w:bCs/>
          <w:sz w:val="28"/>
          <w:szCs w:val="28"/>
        </w:rPr>
        <w:t>June 1</w:t>
      </w:r>
      <w:r w:rsidR="00C20FCC">
        <w:rPr>
          <w:rFonts w:ascii="Times New Roman" w:hAnsi="Times New Roman" w:cs="Times New Roman"/>
          <w:b/>
          <w:bCs/>
          <w:sz w:val="28"/>
          <w:szCs w:val="28"/>
        </w:rPr>
        <w:t>0</w:t>
      </w:r>
      <w:r w:rsidRPr="00EB5582">
        <w:rPr>
          <w:rFonts w:ascii="Times New Roman" w:hAnsi="Times New Roman" w:cs="Times New Roman"/>
          <w:b/>
          <w:bCs/>
          <w:sz w:val="28"/>
          <w:szCs w:val="28"/>
        </w:rPr>
        <w:t>, 202</w:t>
      </w:r>
      <w:r w:rsidR="00C20FCC">
        <w:rPr>
          <w:rFonts w:ascii="Times New Roman" w:hAnsi="Times New Roman" w:cs="Times New Roman"/>
          <w:b/>
          <w:bCs/>
          <w:sz w:val="28"/>
          <w:szCs w:val="28"/>
        </w:rPr>
        <w:t>5</w:t>
      </w:r>
      <w:r w:rsidRPr="00EB5582">
        <w:rPr>
          <w:rFonts w:ascii="Times New Roman" w:hAnsi="Times New Roman" w:cs="Times New Roman"/>
          <w:b/>
          <w:bCs/>
          <w:sz w:val="28"/>
          <w:szCs w:val="28"/>
        </w:rPr>
        <w:t xml:space="preserve">, </w:t>
      </w:r>
      <w:r w:rsidR="00C20FCC">
        <w:rPr>
          <w:rFonts w:ascii="Times New Roman" w:hAnsi="Times New Roman" w:cs="Times New Roman"/>
          <w:b/>
          <w:bCs/>
          <w:sz w:val="28"/>
          <w:szCs w:val="28"/>
        </w:rPr>
        <w:t>Istanbul</w:t>
      </w:r>
    </w:p>
    <w:p w14:paraId="7DD5A25E" w14:textId="77777777" w:rsidR="007F3461" w:rsidRPr="00EB5582" w:rsidRDefault="007F3461" w:rsidP="007F3461">
      <w:pPr>
        <w:rPr>
          <w:rFonts w:ascii="Times New Roman" w:hAnsi="Times New Roman" w:cs="Times New Roman"/>
          <w:b/>
          <w:bCs/>
          <w:sz w:val="28"/>
          <w:szCs w:val="28"/>
        </w:rPr>
      </w:pPr>
    </w:p>
    <w:p w14:paraId="07C2F84C"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Renewable Energy Development</w:t>
      </w:r>
    </w:p>
    <w:p w14:paraId="5DBC30BB" w14:textId="77777777" w:rsidR="007F3461" w:rsidRDefault="007F3461" w:rsidP="007F3461">
      <w:pPr>
        <w:rPr>
          <w:rFonts w:ascii="Times New Roman" w:hAnsi="Times New Roman" w:cs="Times New Roman"/>
          <w:sz w:val="24"/>
          <w:szCs w:val="24"/>
        </w:rPr>
      </w:pPr>
      <w:r>
        <w:rPr>
          <w:rFonts w:ascii="Times New Roman" w:hAnsi="Times New Roman" w:cs="Times New Roman"/>
          <w:sz w:val="24"/>
          <w:szCs w:val="24"/>
        </w:rPr>
        <w:t>Possible breakthroughs in t</w:t>
      </w:r>
      <w:r w:rsidRPr="00025CC9">
        <w:rPr>
          <w:rFonts w:ascii="Times New Roman" w:hAnsi="Times New Roman" w:cs="Times New Roman"/>
          <w:sz w:val="24"/>
          <w:szCs w:val="24"/>
        </w:rPr>
        <w:t>echnologies</w:t>
      </w:r>
      <w:r>
        <w:rPr>
          <w:rFonts w:ascii="Times New Roman" w:hAnsi="Times New Roman" w:cs="Times New Roman"/>
          <w:sz w:val="24"/>
          <w:szCs w:val="24"/>
        </w:rPr>
        <w:t xml:space="preserve"> of solar and wind and future cost projections. Developments in hydropower, ultra-deep geothermal, biomass and biofuels. </w:t>
      </w:r>
    </w:p>
    <w:p w14:paraId="17A66DD2"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Energy Storage</w:t>
      </w:r>
    </w:p>
    <w:p w14:paraId="66CFDCBD" w14:textId="77777777" w:rsidR="007F3461" w:rsidRPr="00025CC9" w:rsidRDefault="007F3461" w:rsidP="007F3461">
      <w:pPr>
        <w:rPr>
          <w:rFonts w:ascii="Times New Roman" w:hAnsi="Times New Roman" w:cs="Times New Roman"/>
          <w:sz w:val="24"/>
          <w:szCs w:val="24"/>
        </w:rPr>
      </w:pPr>
      <w:r w:rsidRPr="00025CC9">
        <w:rPr>
          <w:rFonts w:ascii="Times New Roman" w:hAnsi="Times New Roman" w:cs="Times New Roman"/>
          <w:sz w:val="24"/>
          <w:szCs w:val="24"/>
        </w:rPr>
        <w:t xml:space="preserve">Lithium-ion batteries, </w:t>
      </w:r>
      <w:r>
        <w:rPr>
          <w:rFonts w:ascii="Times New Roman" w:hAnsi="Times New Roman" w:cs="Times New Roman"/>
          <w:sz w:val="24"/>
          <w:szCs w:val="24"/>
        </w:rPr>
        <w:t>sodium-ion batteries, flow batteries, and other types of storage. Future costs of energy storage.</w:t>
      </w:r>
    </w:p>
    <w:p w14:paraId="4F543B7D"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Hydrogen</w:t>
      </w:r>
    </w:p>
    <w:p w14:paraId="6D7B1BC6" w14:textId="3318183A" w:rsidR="007F3461" w:rsidRPr="00025CC9" w:rsidRDefault="007F3461" w:rsidP="007F3461">
      <w:pPr>
        <w:rPr>
          <w:rFonts w:ascii="Times New Roman" w:hAnsi="Times New Roman" w:cs="Times New Roman"/>
          <w:sz w:val="24"/>
          <w:szCs w:val="24"/>
        </w:rPr>
      </w:pPr>
      <w:r>
        <w:rPr>
          <w:rFonts w:ascii="Times New Roman" w:hAnsi="Times New Roman" w:cs="Times New Roman"/>
          <w:sz w:val="24"/>
          <w:szCs w:val="24"/>
        </w:rPr>
        <w:t xml:space="preserve">Production of hydrogen based on fossil fuels and green hydrogen. Possible breakthroughs in technologies and future costs of </w:t>
      </w:r>
      <w:r w:rsidR="004579A9">
        <w:rPr>
          <w:rFonts w:ascii="Times New Roman" w:hAnsi="Times New Roman" w:cs="Times New Roman"/>
          <w:sz w:val="24"/>
          <w:szCs w:val="24"/>
        </w:rPr>
        <w:t xml:space="preserve">green </w:t>
      </w:r>
      <w:r>
        <w:rPr>
          <w:rFonts w:ascii="Times New Roman" w:hAnsi="Times New Roman" w:cs="Times New Roman"/>
          <w:sz w:val="24"/>
          <w:szCs w:val="24"/>
        </w:rPr>
        <w:t xml:space="preserve">hydrogen.  Hydrogen storage, transportation, distribution, and markets. Large hydrogen projects in development. </w:t>
      </w:r>
    </w:p>
    <w:p w14:paraId="26E57451"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Carbon Capture and Storage or Utilization</w:t>
      </w:r>
    </w:p>
    <w:p w14:paraId="4BAC04CB" w14:textId="77777777" w:rsidR="007F3461" w:rsidRPr="00721D79" w:rsidRDefault="007F3461" w:rsidP="007F3461">
      <w:pPr>
        <w:rPr>
          <w:rFonts w:ascii="Times New Roman" w:hAnsi="Times New Roman" w:cs="Times New Roman"/>
          <w:b/>
          <w:bCs/>
          <w:sz w:val="28"/>
          <w:szCs w:val="28"/>
        </w:rPr>
      </w:pPr>
      <w:r w:rsidRPr="00721D79">
        <w:rPr>
          <w:rFonts w:ascii="Times New Roman" w:hAnsi="Times New Roman" w:cs="Times New Roman"/>
          <w:sz w:val="24"/>
          <w:szCs w:val="24"/>
        </w:rPr>
        <w:t>Carbon capture methods and m</w:t>
      </w:r>
      <w:r>
        <w:rPr>
          <w:rFonts w:ascii="Times New Roman" w:hAnsi="Times New Roman" w:cs="Times New Roman"/>
          <w:sz w:val="24"/>
          <w:szCs w:val="24"/>
        </w:rPr>
        <w:t xml:space="preserve">etal-organic frameworks. Large CCS projects. Northern Lights Project. Bio Energy Carbon Capture and Storage. Exomad Green Project.  Direct Air Capture. CO2 utilization. </w:t>
      </w:r>
    </w:p>
    <w:p w14:paraId="2140B085"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Climate Change</w:t>
      </w:r>
    </w:p>
    <w:p w14:paraId="49C0B0D0" w14:textId="77777777" w:rsidR="007F3461" w:rsidRDefault="007F3461" w:rsidP="007F3461">
      <w:pPr>
        <w:rPr>
          <w:rFonts w:ascii="Times New Roman" w:hAnsi="Times New Roman" w:cs="Times New Roman"/>
          <w:b/>
          <w:bCs/>
          <w:sz w:val="28"/>
          <w:szCs w:val="28"/>
        </w:rPr>
      </w:pPr>
      <w:r w:rsidRPr="00721D79">
        <w:rPr>
          <w:rFonts w:ascii="Times New Roman" w:hAnsi="Times New Roman" w:cs="Times New Roman"/>
          <w:sz w:val="24"/>
          <w:szCs w:val="24"/>
        </w:rPr>
        <w:t>Carbon</w:t>
      </w:r>
      <w:r>
        <w:rPr>
          <w:rFonts w:ascii="Times New Roman" w:hAnsi="Times New Roman" w:cs="Times New Roman"/>
          <w:sz w:val="24"/>
          <w:szCs w:val="24"/>
        </w:rPr>
        <w:t xml:space="preserve"> neutrality commitments and proposals of the various countries. </w:t>
      </w:r>
    </w:p>
    <w:p w14:paraId="004BF4E2"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 xml:space="preserve">Energy </w:t>
      </w:r>
      <w:r>
        <w:rPr>
          <w:rFonts w:ascii="Times New Roman" w:hAnsi="Times New Roman" w:cs="Times New Roman"/>
          <w:b/>
          <w:bCs/>
          <w:sz w:val="28"/>
          <w:szCs w:val="28"/>
        </w:rPr>
        <w:t>Supply and Demand</w:t>
      </w:r>
    </w:p>
    <w:p w14:paraId="7CFE22FE" w14:textId="77777777" w:rsidR="007F3461" w:rsidRDefault="007F3461" w:rsidP="007F3461">
      <w:pPr>
        <w:rPr>
          <w:rFonts w:ascii="Times New Roman" w:hAnsi="Times New Roman" w:cs="Times New Roman"/>
          <w:b/>
          <w:bCs/>
          <w:sz w:val="28"/>
          <w:szCs w:val="28"/>
        </w:rPr>
      </w:pPr>
      <w:r>
        <w:rPr>
          <w:rFonts w:ascii="Times New Roman" w:hAnsi="Times New Roman" w:cs="Times New Roman"/>
          <w:sz w:val="24"/>
          <w:szCs w:val="24"/>
        </w:rPr>
        <w:lastRenderedPageBreak/>
        <w:t>Penetration of low-cost renewables. Projected increases in energy storage. Electrification of transport. Renewables for cement, iron, and steel production. Large green ammonia projects in development. Green hydrogen for the transport sector.</w:t>
      </w:r>
    </w:p>
    <w:p w14:paraId="3C916083"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Energy Forecasts</w:t>
      </w:r>
    </w:p>
    <w:p w14:paraId="30305B94" w14:textId="77777777" w:rsidR="007F3461" w:rsidRDefault="007F3461" w:rsidP="007F3461">
      <w:pPr>
        <w:rPr>
          <w:rFonts w:ascii="Times New Roman" w:hAnsi="Times New Roman" w:cs="Times New Roman"/>
          <w:b/>
          <w:bCs/>
          <w:sz w:val="28"/>
          <w:szCs w:val="28"/>
        </w:rPr>
      </w:pPr>
      <w:r>
        <w:rPr>
          <w:rFonts w:ascii="Times New Roman" w:hAnsi="Times New Roman" w:cs="Times New Roman"/>
          <w:sz w:val="24"/>
          <w:szCs w:val="24"/>
        </w:rPr>
        <w:t xml:space="preserve">IEA scenarios. Energy forecasts and future oil and gas production. Forecasts of crude oil and natural gas prices. </w:t>
      </w:r>
    </w:p>
    <w:p w14:paraId="18CF9528" w14:textId="77777777" w:rsidR="007F3461"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Energy Transition – Companies</w:t>
      </w:r>
    </w:p>
    <w:p w14:paraId="6E99E43D" w14:textId="77777777" w:rsidR="007F3461" w:rsidRPr="003C44CA" w:rsidRDefault="007F3461" w:rsidP="007F3461">
      <w:pPr>
        <w:rPr>
          <w:rFonts w:ascii="Times New Roman" w:hAnsi="Times New Roman" w:cs="Times New Roman"/>
          <w:sz w:val="28"/>
          <w:szCs w:val="28"/>
        </w:rPr>
      </w:pPr>
      <w:r>
        <w:rPr>
          <w:rFonts w:ascii="Times New Roman" w:hAnsi="Times New Roman" w:cs="Times New Roman"/>
          <w:sz w:val="24"/>
          <w:szCs w:val="24"/>
        </w:rPr>
        <w:t xml:space="preserve">Roles and strategies of companies involved in energy transition: petroleum companies, power companies, and independent wind, solar and hydrogen producers. Future competitive framework for petroleum companies. </w:t>
      </w:r>
    </w:p>
    <w:p w14:paraId="20D5E7A8"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Government Policies</w:t>
      </w:r>
    </w:p>
    <w:p w14:paraId="4924D64C" w14:textId="77777777" w:rsidR="007F3461" w:rsidRDefault="007F3461" w:rsidP="007F3461">
      <w:pPr>
        <w:rPr>
          <w:rFonts w:ascii="Times New Roman" w:hAnsi="Times New Roman" w:cs="Times New Roman"/>
          <w:b/>
          <w:bCs/>
          <w:sz w:val="28"/>
          <w:szCs w:val="28"/>
        </w:rPr>
      </w:pPr>
      <w:r>
        <w:rPr>
          <w:rFonts w:ascii="Times New Roman" w:hAnsi="Times New Roman" w:cs="Times New Roman"/>
          <w:sz w:val="24"/>
          <w:szCs w:val="24"/>
        </w:rPr>
        <w:t>Maintaining and effective petroleum industry. Promotion of feedstock production. Carbon trading and carbon taxes.  Elimination of subsidies and export duties. Changes required in petroleum land management and duration of petroleum contracts. Natural gas promotion. Reduction of energy emissions.  R&amp;D requirements.</w:t>
      </w:r>
    </w:p>
    <w:p w14:paraId="253DF947"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Petroleum Fiscal Terms for Energy Transition</w:t>
      </w:r>
    </w:p>
    <w:p w14:paraId="5590E033" w14:textId="77777777" w:rsidR="007F3461" w:rsidRDefault="007F3461" w:rsidP="007F3461">
      <w:pPr>
        <w:rPr>
          <w:rFonts w:ascii="Times New Roman" w:hAnsi="Times New Roman" w:cs="Times New Roman"/>
          <w:b/>
          <w:bCs/>
          <w:sz w:val="28"/>
          <w:szCs w:val="28"/>
        </w:rPr>
      </w:pPr>
      <w:r>
        <w:rPr>
          <w:rFonts w:ascii="Times New Roman" w:hAnsi="Times New Roman" w:cs="Times New Roman"/>
          <w:sz w:val="24"/>
          <w:szCs w:val="24"/>
        </w:rPr>
        <w:t xml:space="preserve">Required restructuring of petroleum fiscal terms to support energy transition.  New royalty formula approaches.  Role of surtaxes and hydrocarbon taxes. Necessary adjustments in IRR and R-factor scales. Different approaches to production sharing and state participation. </w:t>
      </w:r>
    </w:p>
    <w:p w14:paraId="31F5E257" w14:textId="77777777" w:rsidR="007F3461" w:rsidRPr="00EB5582" w:rsidRDefault="007F3461" w:rsidP="007F3461">
      <w:pPr>
        <w:rPr>
          <w:rFonts w:ascii="Times New Roman" w:hAnsi="Times New Roman" w:cs="Times New Roman"/>
          <w:sz w:val="28"/>
          <w:szCs w:val="28"/>
        </w:rPr>
      </w:pPr>
      <w:r w:rsidRPr="00EB5582">
        <w:rPr>
          <w:rFonts w:ascii="Times New Roman" w:hAnsi="Times New Roman" w:cs="Times New Roman"/>
          <w:b/>
          <w:bCs/>
          <w:sz w:val="28"/>
          <w:szCs w:val="28"/>
        </w:rPr>
        <w:t>Petroleum Energy Arrangements</w:t>
      </w:r>
    </w:p>
    <w:p w14:paraId="40F8E6F7" w14:textId="77777777" w:rsidR="007F3461" w:rsidRDefault="007F3461" w:rsidP="007F3461">
      <w:r>
        <w:rPr>
          <w:rFonts w:ascii="Times New Roman" w:hAnsi="Times New Roman" w:cs="Times New Roman"/>
          <w:sz w:val="24"/>
          <w:szCs w:val="24"/>
        </w:rPr>
        <w:t>Development of comprehensive new upstream petroleum energy contracts.  Incorporation of renewable energy in petroleum agreements. Petroleum energy package deals.</w:t>
      </w:r>
    </w:p>
    <w:p w14:paraId="21CAA17D" w14:textId="77777777" w:rsidR="007F3461" w:rsidRDefault="007F3461" w:rsidP="000D37EF">
      <w:pPr>
        <w:spacing w:after="0" w:line="240" w:lineRule="auto"/>
      </w:pPr>
    </w:p>
    <w:p w14:paraId="5FCF160A" w14:textId="77777777" w:rsidR="007F3461" w:rsidRDefault="007F3461" w:rsidP="000D37EF">
      <w:pPr>
        <w:spacing w:after="0" w:line="240" w:lineRule="auto"/>
      </w:pPr>
    </w:p>
    <w:p w14:paraId="1BA5DD7D" w14:textId="77777777" w:rsidR="007F3461" w:rsidRPr="007F3461" w:rsidRDefault="007F3461" w:rsidP="000D37EF">
      <w:pPr>
        <w:spacing w:after="0" w:line="240" w:lineRule="auto"/>
      </w:pPr>
    </w:p>
    <w:sectPr w:rsidR="007F3461" w:rsidRPr="007F3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EF"/>
    <w:rsid w:val="00021A48"/>
    <w:rsid w:val="000434C7"/>
    <w:rsid w:val="000538F5"/>
    <w:rsid w:val="000559EC"/>
    <w:rsid w:val="000611FD"/>
    <w:rsid w:val="000C60B4"/>
    <w:rsid w:val="000D37EF"/>
    <w:rsid w:val="000E4B20"/>
    <w:rsid w:val="001109E6"/>
    <w:rsid w:val="00134914"/>
    <w:rsid w:val="00146FB2"/>
    <w:rsid w:val="00167967"/>
    <w:rsid w:val="001D4286"/>
    <w:rsid w:val="001F6FA3"/>
    <w:rsid w:val="0024275E"/>
    <w:rsid w:val="0024549E"/>
    <w:rsid w:val="00253395"/>
    <w:rsid w:val="002C7997"/>
    <w:rsid w:val="002F47D3"/>
    <w:rsid w:val="0030086D"/>
    <w:rsid w:val="0031401D"/>
    <w:rsid w:val="003564C3"/>
    <w:rsid w:val="003708FC"/>
    <w:rsid w:val="004034BD"/>
    <w:rsid w:val="004579A9"/>
    <w:rsid w:val="004751F0"/>
    <w:rsid w:val="00477246"/>
    <w:rsid w:val="00477DDD"/>
    <w:rsid w:val="004A5864"/>
    <w:rsid w:val="004C2310"/>
    <w:rsid w:val="004E1A1D"/>
    <w:rsid w:val="004F75DA"/>
    <w:rsid w:val="00503315"/>
    <w:rsid w:val="005357FA"/>
    <w:rsid w:val="0057421B"/>
    <w:rsid w:val="005D59B7"/>
    <w:rsid w:val="00617A32"/>
    <w:rsid w:val="006274CD"/>
    <w:rsid w:val="00660FA2"/>
    <w:rsid w:val="00673A3F"/>
    <w:rsid w:val="006C2117"/>
    <w:rsid w:val="006E62FE"/>
    <w:rsid w:val="006F0CE7"/>
    <w:rsid w:val="007968CA"/>
    <w:rsid w:val="007F0F64"/>
    <w:rsid w:val="007F3461"/>
    <w:rsid w:val="007F73ED"/>
    <w:rsid w:val="008A09F8"/>
    <w:rsid w:val="008E5E2C"/>
    <w:rsid w:val="0091117A"/>
    <w:rsid w:val="00927487"/>
    <w:rsid w:val="0094173C"/>
    <w:rsid w:val="00962511"/>
    <w:rsid w:val="00971BA9"/>
    <w:rsid w:val="00972A16"/>
    <w:rsid w:val="00975F49"/>
    <w:rsid w:val="0098635D"/>
    <w:rsid w:val="009B0C62"/>
    <w:rsid w:val="009D4E1F"/>
    <w:rsid w:val="009E2580"/>
    <w:rsid w:val="009E768F"/>
    <w:rsid w:val="00A22356"/>
    <w:rsid w:val="00AA6BF0"/>
    <w:rsid w:val="00AE2666"/>
    <w:rsid w:val="00B01586"/>
    <w:rsid w:val="00B2289B"/>
    <w:rsid w:val="00B90C1C"/>
    <w:rsid w:val="00BB4C32"/>
    <w:rsid w:val="00BF1E29"/>
    <w:rsid w:val="00BF57DF"/>
    <w:rsid w:val="00C20FCC"/>
    <w:rsid w:val="00C45F22"/>
    <w:rsid w:val="00C804E0"/>
    <w:rsid w:val="00CE7B65"/>
    <w:rsid w:val="00D32206"/>
    <w:rsid w:val="00DB3372"/>
    <w:rsid w:val="00DC0CE3"/>
    <w:rsid w:val="00DE6313"/>
    <w:rsid w:val="00E032EE"/>
    <w:rsid w:val="00E045DF"/>
    <w:rsid w:val="00E06440"/>
    <w:rsid w:val="00E140EB"/>
    <w:rsid w:val="00E625F5"/>
    <w:rsid w:val="00E84CA2"/>
    <w:rsid w:val="00ED328C"/>
    <w:rsid w:val="00F210DE"/>
    <w:rsid w:val="00F46C6A"/>
    <w:rsid w:val="00F93825"/>
    <w:rsid w:val="00FB397C"/>
    <w:rsid w:val="00FD1A9B"/>
    <w:rsid w:val="00FE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2065"/>
  <w15:docId w15:val="{50649F5F-2924-488A-B551-C7E74E2E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7EF"/>
    <w:rPr>
      <w:color w:val="0000FF" w:themeColor="hyperlink"/>
      <w:u w:val="single"/>
    </w:rPr>
  </w:style>
  <w:style w:type="character" w:styleId="FollowedHyperlink">
    <w:name w:val="FollowedHyperlink"/>
    <w:basedOn w:val="DefaultParagraphFont"/>
    <w:uiPriority w:val="99"/>
    <w:semiHidden/>
    <w:unhideWhenUsed/>
    <w:rsid w:val="00CE7B65"/>
    <w:rPr>
      <w:color w:val="800080" w:themeColor="followedHyperlink"/>
      <w:u w:val="single"/>
    </w:rPr>
  </w:style>
  <w:style w:type="character" w:styleId="UnresolvedMention">
    <w:name w:val="Unresolved Mention"/>
    <w:basedOn w:val="DefaultParagraphFont"/>
    <w:uiPriority w:val="99"/>
    <w:semiHidden/>
    <w:unhideWhenUsed/>
    <w:rsid w:val="007F73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LizaWork</dc:creator>
  <cp:lastModifiedBy>Pedro van Meurs</cp:lastModifiedBy>
  <cp:revision>3</cp:revision>
  <dcterms:created xsi:type="dcterms:W3CDTF">2024-06-21T05:43:00Z</dcterms:created>
  <dcterms:modified xsi:type="dcterms:W3CDTF">2024-06-21T05:44:00Z</dcterms:modified>
</cp:coreProperties>
</file>